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C4362ED" w:rsidR="00F92268" w:rsidRPr="00FF66BF" w:rsidRDefault="00304036" w:rsidP="00F246C7">
            <w:pPr>
              <w:pStyle w:val="RefTableHeader"/>
            </w:pPr>
            <w:r w:rsidRPr="00304036">
              <w:t>2013-A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B373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7319D1A" w:rsidR="004B15BB" w:rsidRPr="00BD1CC1" w:rsidRDefault="00624D75" w:rsidP="007E5C16">
      <w:pPr>
        <w:pStyle w:val="Heading1"/>
      </w:pPr>
      <w:r w:rsidRPr="00624D75">
        <w:t>Specialty Guideline Management</w:t>
      </w:r>
      <w:r w:rsidR="008C54D9" w:rsidRPr="00BD1CC1">
        <w:br/>
      </w:r>
      <w:r w:rsidRPr="00624D75">
        <w:t>T</w:t>
      </w:r>
      <w:r w:rsidR="003F2BEE" w:rsidRPr="00624D75">
        <w:t>altz</w:t>
      </w:r>
    </w:p>
    <w:p w14:paraId="205A9715" w14:textId="2FDB4BB3" w:rsidR="00010351" w:rsidRDefault="00C64534" w:rsidP="00624D75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7C123ABD" w14:textId="4564F59E" w:rsidR="00B26130" w:rsidRPr="00BD1CC1" w:rsidRDefault="00B26130" w:rsidP="00B26130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proofErr w:type="gramStart"/>
      <w:r w:rsidR="001B20D2" w:rsidRPr="00BD1CC1">
        <w:t>O</w:t>
      </w:r>
      <w:r w:rsidR="001B20D2">
        <w:t>ver-the-counter</w:t>
      </w:r>
      <w:proofErr w:type="gramEnd"/>
      <w:r w:rsidR="001B20D2" w:rsidRPr="00BD1CC1">
        <w:t xml:space="preserve"> </w:t>
      </w:r>
      <w:r w:rsidR="001B20D2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B26130" w:rsidRPr="00BD1CC1" w14:paraId="7A47C5A7" w14:textId="77777777" w:rsidTr="00BF2D79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26461F0" w14:textId="77777777" w:rsidR="00B26130" w:rsidRPr="00BD1CC1" w:rsidRDefault="00B26130" w:rsidP="00BF2D79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400E2900" w14:textId="77777777" w:rsidR="00B26130" w:rsidRPr="00BD1CC1" w:rsidRDefault="00B26130" w:rsidP="00BF2D79">
            <w:pPr>
              <w:pStyle w:val="TableHeader"/>
            </w:pPr>
            <w:r w:rsidRPr="00BD1CC1">
              <w:t>Generic Name</w:t>
            </w:r>
          </w:p>
        </w:tc>
      </w:tr>
      <w:tr w:rsidR="00B26130" w:rsidRPr="00BD1CC1" w14:paraId="5204501F" w14:textId="77777777" w:rsidTr="00BF2D79">
        <w:trPr>
          <w:cantSplit/>
        </w:trPr>
        <w:tc>
          <w:tcPr>
            <w:tcW w:w="5265" w:type="dxa"/>
          </w:tcPr>
          <w:p w14:paraId="2E76A403" w14:textId="470960E6" w:rsidR="00B26130" w:rsidRPr="00BD1CC1" w:rsidRDefault="00B26130" w:rsidP="00BF2D79">
            <w:pPr>
              <w:pStyle w:val="TableDataUnpadded"/>
            </w:pPr>
            <w:r w:rsidRPr="00624D75">
              <w:t>Taltz</w:t>
            </w:r>
          </w:p>
        </w:tc>
        <w:tc>
          <w:tcPr>
            <w:tcW w:w="5595" w:type="dxa"/>
          </w:tcPr>
          <w:p w14:paraId="187EC2CF" w14:textId="67AA5A8D" w:rsidR="00B26130" w:rsidRPr="00BD1CC1" w:rsidRDefault="00B26130" w:rsidP="00BF2D79">
            <w:pPr>
              <w:pStyle w:val="TableDataUnpadded"/>
            </w:pPr>
            <w:proofErr w:type="spellStart"/>
            <w:r w:rsidRPr="00624D75">
              <w:t>ixekizumab</w:t>
            </w:r>
            <w:proofErr w:type="spellEnd"/>
          </w:p>
        </w:tc>
      </w:tr>
    </w:tbl>
    <w:bookmarkEnd w:id="0"/>
    <w:p w14:paraId="14CE6108" w14:textId="2C5708FE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119E15D6" w14:textId="3DB53617" w:rsidR="00624D75" w:rsidRPr="00624D75" w:rsidRDefault="00624D75" w:rsidP="004A2168">
      <w:pPr>
        <w:pStyle w:val="BodyText"/>
      </w:pPr>
      <w:r w:rsidRPr="00624D7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46479E7" w:rsidR="00ED052F" w:rsidRDefault="00ED052F" w:rsidP="00ED052F">
      <w:pPr>
        <w:pStyle w:val="Heading3"/>
        <w:keepNext w:val="0"/>
      </w:pPr>
      <w:r w:rsidRPr="00BD1CC1">
        <w:t>FDA-approved Indications</w:t>
      </w:r>
      <w:r w:rsidR="005F5929" w:rsidRPr="00540386">
        <w:rPr>
          <w:vertAlign w:val="superscript"/>
        </w:rPr>
        <w:t>1</w:t>
      </w:r>
    </w:p>
    <w:p w14:paraId="3E1B3AFF" w14:textId="77777777" w:rsidR="00624D75" w:rsidRDefault="00624D75" w:rsidP="00624D75">
      <w:pPr>
        <w:pStyle w:val="ListParagraph"/>
        <w:numPr>
          <w:ilvl w:val="0"/>
          <w:numId w:val="26"/>
        </w:numPr>
      </w:pPr>
      <w:r>
        <w:t>Moderate to severe plaque psoriasis (</w:t>
      </w:r>
      <w:proofErr w:type="spellStart"/>
      <w:r>
        <w:t>PsO</w:t>
      </w:r>
      <w:proofErr w:type="spellEnd"/>
      <w:r>
        <w:t>) in patients 6 years of age and older who are candidates for systemic therapy or phototherapy</w:t>
      </w:r>
    </w:p>
    <w:p w14:paraId="35B323FA" w14:textId="31B2F30B" w:rsidR="00624D75" w:rsidRDefault="00624D75" w:rsidP="00624D75">
      <w:pPr>
        <w:pStyle w:val="ListParagraph"/>
        <w:numPr>
          <w:ilvl w:val="0"/>
          <w:numId w:val="26"/>
        </w:numPr>
      </w:pPr>
      <w:r>
        <w:t>Adult patients with active psoriatic arthritis (PsA)</w:t>
      </w:r>
    </w:p>
    <w:p w14:paraId="3477F168" w14:textId="77777777" w:rsidR="00624D75" w:rsidRDefault="00624D75" w:rsidP="00624D75">
      <w:pPr>
        <w:pStyle w:val="ListParagraph"/>
        <w:numPr>
          <w:ilvl w:val="0"/>
          <w:numId w:val="26"/>
        </w:numPr>
      </w:pPr>
      <w:r>
        <w:t>Adult patients with active ankylosing spondylitis (AS)</w:t>
      </w:r>
    </w:p>
    <w:p w14:paraId="7D4A12CE" w14:textId="7874F679" w:rsidR="00624D75" w:rsidRPr="00624D75" w:rsidRDefault="00624D75" w:rsidP="00624D75">
      <w:pPr>
        <w:pStyle w:val="ListParagraph"/>
        <w:numPr>
          <w:ilvl w:val="0"/>
          <w:numId w:val="26"/>
        </w:numPr>
      </w:pPr>
      <w:r>
        <w:t xml:space="preserve">Adult patients with active non-radiographic axial </w:t>
      </w:r>
      <w:proofErr w:type="spellStart"/>
      <w:r>
        <w:t>spondyloarthritis</w:t>
      </w:r>
      <w:proofErr w:type="spellEnd"/>
      <w:r>
        <w:t xml:space="preserve"> (nr-</w:t>
      </w:r>
      <w:proofErr w:type="spellStart"/>
      <w:r>
        <w:t>axSpA</w:t>
      </w:r>
      <w:proofErr w:type="spellEnd"/>
      <w:r>
        <w:t>) with objective signs of inflammation</w:t>
      </w:r>
    </w:p>
    <w:p w14:paraId="4C434745" w14:textId="276F12BC" w:rsidR="00ED052F" w:rsidRDefault="00624D75" w:rsidP="00ED052F">
      <w:pPr>
        <w:pStyle w:val="BodyText"/>
      </w:pPr>
      <w:r w:rsidRPr="00624D75">
        <w:t>All other indications are considered experimental/investigational and not medically necessary</w:t>
      </w:r>
      <w:r w:rsidR="00ED052F" w:rsidRPr="00BD1CC1">
        <w:t>.</w:t>
      </w:r>
    </w:p>
    <w:p w14:paraId="36381B6D" w14:textId="19BFAEDA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3922B7B3" w:rsidR="000D2496" w:rsidRDefault="000D2496" w:rsidP="000D2496">
      <w:pPr>
        <w:pStyle w:val="BodyText"/>
      </w:pPr>
      <w:r w:rsidRPr="00BD1CC1">
        <w:t>Submission of the following information is necessary to initiate the prior authorization review:</w:t>
      </w:r>
    </w:p>
    <w:p w14:paraId="74C8120E" w14:textId="6A310844" w:rsidR="00290C26" w:rsidRPr="006175D6" w:rsidRDefault="001E2108" w:rsidP="006175D6">
      <w:pPr>
        <w:pStyle w:val="Heading3"/>
      </w:pPr>
      <w:r w:rsidRPr="006175D6">
        <w:lastRenderedPageBreak/>
        <w:t>Plaque psoriasis (</w:t>
      </w:r>
      <w:proofErr w:type="spellStart"/>
      <w:r w:rsidRPr="006175D6">
        <w:t>PsO</w:t>
      </w:r>
      <w:proofErr w:type="spellEnd"/>
      <w:r w:rsidRPr="006175D6">
        <w:t>)</w:t>
      </w:r>
    </w:p>
    <w:p w14:paraId="58CF1CF6" w14:textId="6FF10879" w:rsidR="001E2108" w:rsidRPr="001E2108" w:rsidRDefault="001E2108" w:rsidP="00642BDD">
      <w:pPr>
        <w:pStyle w:val="Heading4"/>
      </w:pPr>
      <w:r w:rsidRPr="001E2108">
        <w:t>Initial requests</w:t>
      </w:r>
    </w:p>
    <w:p w14:paraId="6F7A7B71" w14:textId="054D4D24" w:rsidR="001E2108" w:rsidRDefault="001E2108" w:rsidP="000D37E6">
      <w:pPr>
        <w:pStyle w:val="ListParagraph"/>
        <w:numPr>
          <w:ilvl w:val="0"/>
          <w:numId w:val="28"/>
        </w:numPr>
      </w:pPr>
      <w:r>
        <w:t>Chart notes or medical record documentation of affected area(s) and body surface area (BSA) affected (if applicable).</w:t>
      </w:r>
    </w:p>
    <w:p w14:paraId="357E8044" w14:textId="3075A24E" w:rsidR="001E2108" w:rsidRDefault="001E2108" w:rsidP="000D37E6">
      <w:pPr>
        <w:pStyle w:val="ListParagraph"/>
        <w:numPr>
          <w:ilvl w:val="0"/>
          <w:numId w:val="28"/>
        </w:numPr>
      </w:pPr>
      <w:r>
        <w:t>Chart notes, medical record documentation, or claims history supporting previous medications tried (if applicable), including response to therapy. If therapy is not advisable, documentation of clinical reason to avoid therapy.</w:t>
      </w:r>
    </w:p>
    <w:p w14:paraId="44CC6749" w14:textId="78F1D122" w:rsidR="00642BDD" w:rsidRDefault="001E2108" w:rsidP="00642BDD">
      <w:pPr>
        <w:pStyle w:val="Heading4"/>
      </w:pPr>
      <w:r w:rsidRPr="001E2108">
        <w:t>Continuation requests</w:t>
      </w:r>
    </w:p>
    <w:p w14:paraId="3DD7AE53" w14:textId="714D7D4A" w:rsidR="001E2108" w:rsidRPr="001E2108" w:rsidRDefault="001E2108" w:rsidP="001E2108">
      <w:pPr>
        <w:pStyle w:val="ListParagraph"/>
        <w:numPr>
          <w:ilvl w:val="0"/>
          <w:numId w:val="28"/>
        </w:numPr>
      </w:pPr>
      <w:r w:rsidRPr="001E2108">
        <w:t>Chart notes or medical record documentation of decreased body surface area (BSA) affected and/or improvement in signs and symptoms.</w:t>
      </w:r>
    </w:p>
    <w:p w14:paraId="5838489F" w14:textId="58E82C20" w:rsidR="001E2108" w:rsidRDefault="001E2108" w:rsidP="001E2108">
      <w:pPr>
        <w:pStyle w:val="Heading3"/>
      </w:pPr>
      <w:r w:rsidRPr="001E2108">
        <w:t xml:space="preserve">Ankylosing spondylitis (AS), non-radiographic axial </w:t>
      </w:r>
      <w:proofErr w:type="spellStart"/>
      <w:r w:rsidRPr="001E2108">
        <w:t>spondyloarthritis</w:t>
      </w:r>
      <w:proofErr w:type="spellEnd"/>
      <w:r w:rsidRPr="001E2108">
        <w:t xml:space="preserve"> (nr-</w:t>
      </w:r>
      <w:proofErr w:type="spellStart"/>
      <w:r w:rsidRPr="001E2108">
        <w:t>axSpA</w:t>
      </w:r>
      <w:proofErr w:type="spellEnd"/>
      <w:r w:rsidRPr="001E2108">
        <w:t>), and psoriatic arthritis (PsA)</w:t>
      </w:r>
    </w:p>
    <w:p w14:paraId="6D75EDA1" w14:textId="0079E262" w:rsidR="00251F49" w:rsidRDefault="001E2108" w:rsidP="00251F49">
      <w:pPr>
        <w:pStyle w:val="Heading4"/>
      </w:pPr>
      <w:r>
        <w:t>Initial requests</w:t>
      </w:r>
    </w:p>
    <w:p w14:paraId="7D2829DB" w14:textId="6889119F" w:rsidR="001E2108" w:rsidRDefault="001E2108" w:rsidP="00665517">
      <w:pPr>
        <w:pStyle w:val="ListParagraph"/>
      </w:pPr>
      <w:r>
        <w:t>Chart notes, medical record documentation, or claims history supporting previous medications tried (if applicable), including response to therapy. If therapy is not advisable, documentation of clinical reason to avoid therapy.</w:t>
      </w:r>
    </w:p>
    <w:p w14:paraId="4E83F204" w14:textId="58A07072" w:rsidR="00251F49" w:rsidRDefault="001E2108" w:rsidP="00251F49">
      <w:pPr>
        <w:pStyle w:val="Heading4"/>
      </w:pPr>
      <w:r>
        <w:t>Continuation requests</w:t>
      </w:r>
    </w:p>
    <w:p w14:paraId="6A6E6B9D" w14:textId="602A36C4" w:rsidR="001E2108" w:rsidRPr="001E2108" w:rsidRDefault="001E2108" w:rsidP="00665517">
      <w:pPr>
        <w:pStyle w:val="ListParagraph"/>
      </w:pPr>
      <w:r>
        <w:t>Chart notes or medical record documentation supporting positive clinical response.</w:t>
      </w:r>
    </w:p>
    <w:p w14:paraId="4A5B15F8" w14:textId="03EE2B8B" w:rsidR="00006174" w:rsidRPr="00AA1E6A" w:rsidRDefault="00006174" w:rsidP="00006174">
      <w:pPr>
        <w:pStyle w:val="Heading2"/>
      </w:pPr>
      <w:r w:rsidRPr="00BD1CC1">
        <w:t>Prescriber Specialties</w:t>
      </w:r>
    </w:p>
    <w:p w14:paraId="3339DD5A" w14:textId="77777777" w:rsidR="00006174" w:rsidRPr="00BD1CC1" w:rsidRDefault="00006174" w:rsidP="00006174">
      <w:pPr>
        <w:pStyle w:val="BodyText"/>
      </w:pPr>
      <w:r w:rsidRPr="00BD1CC1">
        <w:t>This medication must be prescribed by or in consultation with one of the following:</w:t>
      </w:r>
    </w:p>
    <w:p w14:paraId="0BF0BCAC" w14:textId="77777777" w:rsidR="00665517" w:rsidRDefault="00665517" w:rsidP="00665517">
      <w:pPr>
        <w:pStyle w:val="ListParagraph"/>
      </w:pPr>
      <w:r>
        <w:t>Plaque psoriasis: dermatologist</w:t>
      </w:r>
    </w:p>
    <w:p w14:paraId="2D82B986" w14:textId="77777777" w:rsidR="00665517" w:rsidRDefault="00665517" w:rsidP="00665517">
      <w:pPr>
        <w:pStyle w:val="ListParagraph"/>
      </w:pPr>
      <w:r>
        <w:t>Psoriatic arthritis: rheumatologist or dermatologist</w:t>
      </w:r>
    </w:p>
    <w:p w14:paraId="50C85039" w14:textId="63091AFB" w:rsidR="00006174" w:rsidRPr="00BD1CC1" w:rsidRDefault="00665517" w:rsidP="00665517">
      <w:pPr>
        <w:pStyle w:val="ListParagraph"/>
      </w:pPr>
      <w:r>
        <w:t>Ankylosing spondylitis and non-radiographic axial spondyloarthritis: rheumatologist</w:t>
      </w:r>
    </w:p>
    <w:p w14:paraId="50A38FBA" w14:textId="78818EC0" w:rsidR="00FE0C63" w:rsidRPr="007C70F5" w:rsidRDefault="00685107" w:rsidP="00E050E1">
      <w:pPr>
        <w:pStyle w:val="Heading2"/>
        <w:rPr>
          <w:lang w:val="pt-BR"/>
        </w:rPr>
      </w:pPr>
      <w:r w:rsidRPr="007C70F5">
        <w:rPr>
          <w:lang w:val="pt-BR"/>
        </w:rPr>
        <w:t>Coverage Criteria</w:t>
      </w:r>
    </w:p>
    <w:p w14:paraId="5A16F66F" w14:textId="7809404F" w:rsidR="00665517" w:rsidRPr="007C70F5" w:rsidRDefault="00665517" w:rsidP="00665517">
      <w:pPr>
        <w:pStyle w:val="Heading3"/>
        <w:rPr>
          <w:lang w:val="pt-BR"/>
        </w:rPr>
      </w:pPr>
      <w:r w:rsidRPr="007C70F5">
        <w:rPr>
          <w:lang w:val="pt-BR"/>
        </w:rPr>
        <w:t>Plaque psoriasis (PsO)</w:t>
      </w:r>
      <w:r w:rsidR="00295E60" w:rsidRPr="00540386">
        <w:rPr>
          <w:vertAlign w:val="superscript"/>
          <w:lang w:val="pt-BR"/>
        </w:rPr>
        <w:t>1-4,</w:t>
      </w:r>
      <w:r w:rsidR="006863A8">
        <w:rPr>
          <w:vertAlign w:val="superscript"/>
          <w:lang w:val="pt-BR"/>
        </w:rPr>
        <w:t>6</w:t>
      </w:r>
      <w:r w:rsidR="00295E60" w:rsidRPr="00540386">
        <w:rPr>
          <w:vertAlign w:val="superscript"/>
          <w:lang w:val="pt-BR"/>
        </w:rPr>
        <w:t>,</w:t>
      </w:r>
      <w:r w:rsidR="006863A8">
        <w:rPr>
          <w:vertAlign w:val="superscript"/>
          <w:lang w:val="pt-BR"/>
        </w:rPr>
        <w:t>11</w:t>
      </w:r>
    </w:p>
    <w:p w14:paraId="0A767593" w14:textId="21C8628D" w:rsidR="00665517" w:rsidRDefault="00665517" w:rsidP="00665517">
      <w:pPr>
        <w:pStyle w:val="BodyText"/>
      </w:pPr>
      <w:r w:rsidRPr="00665517">
        <w:t xml:space="preserve">Authorization of 12 months may be granted for members 6 years of age or older who have previously received a biologic or targeted synthetic drug (e.g., </w:t>
      </w:r>
      <w:proofErr w:type="spellStart"/>
      <w:r w:rsidRPr="00665517">
        <w:t>Sotyktu</w:t>
      </w:r>
      <w:proofErr w:type="spellEnd"/>
      <w:r w:rsidRPr="00665517">
        <w:t>, Otezla) indicated for the treatment of moderate to severe plaque psoriasis.</w:t>
      </w:r>
    </w:p>
    <w:p w14:paraId="3BCE34E5" w14:textId="1FC6175C" w:rsidR="00665517" w:rsidRDefault="00665517" w:rsidP="00665517">
      <w:pPr>
        <w:pStyle w:val="BodyText"/>
      </w:pPr>
      <w:r w:rsidRPr="00665517">
        <w:lastRenderedPageBreak/>
        <w:t>Authorization of 12 months may be granted for members 6 years of age or older for the treatment of moderate to severe plaque psoriasis when any of the following criteria is met:</w:t>
      </w:r>
    </w:p>
    <w:p w14:paraId="51C0C2A4" w14:textId="78C24939" w:rsidR="00665517" w:rsidRDefault="00665517" w:rsidP="009C064C">
      <w:pPr>
        <w:pStyle w:val="ListParagraph"/>
      </w:pPr>
      <w:r>
        <w:t>Crucial body areas (e.g., hands, feet, face, neck, scalp, genitals/groin, intertriginous areas) are affected.</w:t>
      </w:r>
    </w:p>
    <w:p w14:paraId="6AF7ED2F" w14:textId="507FFED3" w:rsidR="00665517" w:rsidRDefault="00665517" w:rsidP="009C064C">
      <w:pPr>
        <w:pStyle w:val="ListParagraph"/>
      </w:pPr>
      <w:r>
        <w:t>At least 10% of body surface area (BSA) is affected.</w:t>
      </w:r>
    </w:p>
    <w:p w14:paraId="3C5D685E" w14:textId="595FCCE0" w:rsidR="00665517" w:rsidRDefault="00665517" w:rsidP="009C064C">
      <w:pPr>
        <w:pStyle w:val="ListParagraph"/>
      </w:pPr>
      <w:r>
        <w:t>At least 3% of body surface area (BSA) is affected and the member meets any of the following criteria:</w:t>
      </w:r>
    </w:p>
    <w:p w14:paraId="59BC6430" w14:textId="4EC35560" w:rsidR="00665517" w:rsidRDefault="00665517" w:rsidP="00665517">
      <w:pPr>
        <w:pStyle w:val="ListParagraph"/>
        <w:numPr>
          <w:ilvl w:val="1"/>
          <w:numId w:val="21"/>
        </w:numPr>
      </w:pPr>
      <w:r>
        <w:t>Member has had an inadequate response or intolerance to either phototherapy (e.g., UVB, PUVA) or pharmacologic treatment with methotrexate, cyclosporine, or acitretin.</w:t>
      </w:r>
    </w:p>
    <w:p w14:paraId="7CF32711" w14:textId="36AF250F" w:rsidR="00665517" w:rsidRDefault="00665517" w:rsidP="00665517">
      <w:pPr>
        <w:pStyle w:val="ListParagraph"/>
        <w:numPr>
          <w:ilvl w:val="1"/>
          <w:numId w:val="21"/>
        </w:numPr>
      </w:pPr>
      <w:r>
        <w:t>Member has a clinical reason to avoid pharmacologic treatment with methotrexate, cyclosporine, and acitretin (see Appendix).</w:t>
      </w:r>
    </w:p>
    <w:p w14:paraId="3C360988" w14:textId="7187892C" w:rsidR="00665517" w:rsidRDefault="00665517" w:rsidP="00665517">
      <w:pPr>
        <w:pStyle w:val="Heading3"/>
      </w:pPr>
      <w:r w:rsidRPr="00665517">
        <w:t>Psoriatic arthritis (PsA)</w:t>
      </w:r>
      <w:r w:rsidR="003C2265" w:rsidRPr="00540386">
        <w:rPr>
          <w:vertAlign w:val="superscript"/>
        </w:rPr>
        <w:t>1,5,1</w:t>
      </w:r>
      <w:r w:rsidR="006863A8">
        <w:rPr>
          <w:vertAlign w:val="superscript"/>
        </w:rPr>
        <w:t>0</w:t>
      </w:r>
      <w:r w:rsidR="003C2265" w:rsidRPr="00540386">
        <w:rPr>
          <w:vertAlign w:val="superscript"/>
        </w:rPr>
        <w:t>,1</w:t>
      </w:r>
      <w:r w:rsidR="006863A8">
        <w:rPr>
          <w:vertAlign w:val="superscript"/>
        </w:rPr>
        <w:t>1</w:t>
      </w:r>
    </w:p>
    <w:p w14:paraId="6E02A5AC" w14:textId="64D71F76" w:rsidR="00665517" w:rsidRDefault="00665517" w:rsidP="004A2168">
      <w:pPr>
        <w:pStyle w:val="BodyText"/>
      </w:pPr>
      <w:r>
        <w:t>Authorization of 12 months may be granted for adult members who have previously received a biologic or targeted synthetic drug (e.g., Rinvoq, Otezla) indicated for active psoriatic arthritis.</w:t>
      </w:r>
    </w:p>
    <w:p w14:paraId="3F86DE1A" w14:textId="070B04E1" w:rsidR="00665517" w:rsidRDefault="00665517" w:rsidP="004A2168">
      <w:pPr>
        <w:pStyle w:val="BodyText"/>
      </w:pPr>
      <w:r>
        <w:t>Authorization of 12 months may be granted for adult members for treatment of active psoriatic arthritis when either of the following criteria is met:</w:t>
      </w:r>
    </w:p>
    <w:p w14:paraId="66FEF4E8" w14:textId="656E20AA" w:rsidR="00665517" w:rsidRDefault="00665517" w:rsidP="00665517">
      <w:pPr>
        <w:pStyle w:val="ListParagraph"/>
        <w:numPr>
          <w:ilvl w:val="0"/>
          <w:numId w:val="37"/>
        </w:numPr>
      </w:pPr>
      <w:r>
        <w:t>Member has mild to moderate disease and meets one of the following criteria:</w:t>
      </w:r>
    </w:p>
    <w:p w14:paraId="5E0653A7" w14:textId="57F0D386" w:rsidR="00665517" w:rsidRDefault="00665517" w:rsidP="00F72FD3">
      <w:pPr>
        <w:pStyle w:val="ListParagraph"/>
        <w:numPr>
          <w:ilvl w:val="1"/>
          <w:numId w:val="21"/>
        </w:numPr>
      </w:pPr>
      <w:r>
        <w:t>Member has had an inadequate response to methotrexate, leflunomide, or another conventional synthetic drug (e.g., sulfasalazine) administered at an adequate dose and duration.</w:t>
      </w:r>
    </w:p>
    <w:p w14:paraId="33C412AC" w14:textId="4CEF9884" w:rsidR="00665517" w:rsidRDefault="00665517" w:rsidP="00F72FD3">
      <w:pPr>
        <w:pStyle w:val="ListParagraph"/>
        <w:numPr>
          <w:ilvl w:val="1"/>
          <w:numId w:val="21"/>
        </w:numPr>
      </w:pPr>
      <w:r>
        <w:t>Member has an intolerance or contraindication to methotrexate or leflunomide (see Appendix), or another conventional synthetic drug (e.g., sulfasalazine).</w:t>
      </w:r>
    </w:p>
    <w:p w14:paraId="040D24A2" w14:textId="1EBADBD1" w:rsidR="00665517" w:rsidRDefault="00665517" w:rsidP="00F72FD3">
      <w:pPr>
        <w:pStyle w:val="ListParagraph"/>
        <w:numPr>
          <w:ilvl w:val="1"/>
          <w:numId w:val="21"/>
        </w:numPr>
      </w:pPr>
      <w:r>
        <w:t>Member has enthesitis or predominantly axial disease.</w:t>
      </w:r>
    </w:p>
    <w:p w14:paraId="06485D51" w14:textId="20E63B3C" w:rsidR="00665517" w:rsidRDefault="00665517" w:rsidP="00665517">
      <w:pPr>
        <w:pStyle w:val="ListParagraph"/>
        <w:numPr>
          <w:ilvl w:val="0"/>
          <w:numId w:val="37"/>
        </w:numPr>
      </w:pPr>
      <w:r>
        <w:t>Member has severe disease.</w:t>
      </w:r>
    </w:p>
    <w:p w14:paraId="36729551" w14:textId="7E6BCD14" w:rsidR="00F72FD3" w:rsidRPr="00F72FD3" w:rsidRDefault="00F72FD3" w:rsidP="00F72FD3">
      <w:pPr>
        <w:pStyle w:val="Heading3"/>
      </w:pPr>
      <w:r w:rsidRPr="00F72FD3">
        <w:t xml:space="preserve">Ankylosing spondylitis (AS) and non-radiographic axial </w:t>
      </w:r>
      <w:proofErr w:type="spellStart"/>
      <w:r w:rsidRPr="00F72FD3">
        <w:t>spondyloarthritis</w:t>
      </w:r>
      <w:proofErr w:type="spellEnd"/>
      <w:r w:rsidRPr="00F72FD3">
        <w:t xml:space="preserve"> (nr-</w:t>
      </w:r>
      <w:proofErr w:type="spellStart"/>
      <w:r w:rsidRPr="00F72FD3">
        <w:t>axSpA</w:t>
      </w:r>
      <w:proofErr w:type="spellEnd"/>
      <w:r w:rsidRPr="00F72FD3">
        <w:t>)</w:t>
      </w:r>
      <w:r w:rsidR="003C2265" w:rsidRPr="00540386">
        <w:rPr>
          <w:vertAlign w:val="superscript"/>
        </w:rPr>
        <w:t>1,</w:t>
      </w:r>
      <w:r w:rsidR="00A90597">
        <w:rPr>
          <w:vertAlign w:val="superscript"/>
        </w:rPr>
        <w:t>8</w:t>
      </w:r>
      <w:r w:rsidR="003C2265" w:rsidRPr="00540386">
        <w:rPr>
          <w:vertAlign w:val="superscript"/>
        </w:rPr>
        <w:t>,</w:t>
      </w:r>
      <w:r w:rsidR="00A90597">
        <w:rPr>
          <w:vertAlign w:val="superscript"/>
        </w:rPr>
        <w:t>9</w:t>
      </w:r>
      <w:r w:rsidR="003C2265" w:rsidRPr="00540386">
        <w:rPr>
          <w:vertAlign w:val="superscript"/>
        </w:rPr>
        <w:t>,1</w:t>
      </w:r>
      <w:r w:rsidR="00A90597">
        <w:rPr>
          <w:vertAlign w:val="superscript"/>
        </w:rPr>
        <w:t>3</w:t>
      </w:r>
    </w:p>
    <w:p w14:paraId="25C5C0E9" w14:textId="77777777" w:rsidR="00F72FD3" w:rsidRDefault="00F72FD3" w:rsidP="00FE0C63">
      <w:pPr>
        <w:pStyle w:val="BodyText"/>
      </w:pPr>
      <w:r w:rsidRPr="00F72FD3">
        <w:t>Authorization of 12 months may be granted for adult members who have previously received a biologic or targeted synthetic drug (e.g., Rinvoq, Xeljanz) indicated for active ankylosing spondylitis or active non-radiographic axial spondyloarthritis.</w:t>
      </w:r>
    </w:p>
    <w:p w14:paraId="042A9205" w14:textId="77777777" w:rsidR="00F72FD3" w:rsidRDefault="00F72FD3" w:rsidP="00FE0C63">
      <w:pPr>
        <w:pStyle w:val="BodyText"/>
      </w:pPr>
      <w:r w:rsidRPr="00F72FD3">
        <w:t>Authorization of 12 months may be granted for adult members for treatment of active ankylosing spondylitis or active non-radiographic axial spondyloarthritis when any of the following criteria is met:</w:t>
      </w:r>
    </w:p>
    <w:p w14:paraId="1DDFF4C9" w14:textId="4EC2F981" w:rsidR="00F72FD3" w:rsidRDefault="00F72FD3" w:rsidP="00F72FD3">
      <w:pPr>
        <w:pStyle w:val="ListParagraph"/>
        <w:numPr>
          <w:ilvl w:val="0"/>
          <w:numId w:val="40"/>
        </w:numPr>
      </w:pPr>
      <w:r>
        <w:t>Member has had an inadequate response to at least two non-steroidal anti-inflammatory drugs (NSAIDs).</w:t>
      </w:r>
    </w:p>
    <w:p w14:paraId="3A5740A6" w14:textId="28EAA08F" w:rsidR="00F72FD3" w:rsidRPr="00F72FD3" w:rsidRDefault="00F72FD3" w:rsidP="00F72FD3">
      <w:pPr>
        <w:pStyle w:val="ListParagraph"/>
        <w:numPr>
          <w:ilvl w:val="0"/>
          <w:numId w:val="40"/>
        </w:numPr>
      </w:pPr>
      <w:r>
        <w:t>Member has an intolerance or contraindication to two or more NSAIDs.</w:t>
      </w:r>
    </w:p>
    <w:p w14:paraId="3A643EC3" w14:textId="6F5D04D2" w:rsidR="00A501AC" w:rsidRDefault="00A501AC" w:rsidP="00A501AC">
      <w:pPr>
        <w:pStyle w:val="Heading2"/>
      </w:pPr>
      <w:r w:rsidRPr="00BD1CC1">
        <w:lastRenderedPageBreak/>
        <w:t>Continuation of Therapy</w:t>
      </w:r>
    </w:p>
    <w:p w14:paraId="39B259C9" w14:textId="08A76F68" w:rsidR="00F72FD3" w:rsidRDefault="00F72FD3" w:rsidP="00F72FD3">
      <w:pPr>
        <w:pStyle w:val="Heading3"/>
      </w:pPr>
      <w:r w:rsidRPr="00F72FD3">
        <w:t>Plaque psoriasis (</w:t>
      </w:r>
      <w:proofErr w:type="spellStart"/>
      <w:r w:rsidRPr="00F72FD3">
        <w:t>PsO</w:t>
      </w:r>
      <w:proofErr w:type="spellEnd"/>
      <w:r w:rsidRPr="00F72FD3">
        <w:t>)</w:t>
      </w:r>
      <w:r w:rsidR="00435885" w:rsidRPr="00540386">
        <w:rPr>
          <w:vertAlign w:val="superscript"/>
        </w:rPr>
        <w:t>1-4,</w:t>
      </w:r>
      <w:r w:rsidR="00B4682E">
        <w:rPr>
          <w:vertAlign w:val="superscript"/>
        </w:rPr>
        <w:t>6</w:t>
      </w:r>
    </w:p>
    <w:p w14:paraId="6EB2F96E" w14:textId="7E72F3F4" w:rsidR="00F72FD3" w:rsidRDefault="00F72FD3" w:rsidP="004A2168">
      <w:pPr>
        <w:pStyle w:val="BodyText"/>
      </w:pPr>
      <w:r w:rsidRPr="00F72FD3">
        <w:t xml:space="preserve">Authorization of 12 months may be granted for all members 6 years of age or older (including new members) </w:t>
      </w:r>
      <w:r w:rsidRPr="004A2168">
        <w:t>who are using the requested medication for moderate to severe plaque psoriasis and who achieve or maintain a positive clinical response as evidenced by low disease activity or improvement in signs and symp</w:t>
      </w:r>
      <w:r w:rsidRPr="00F72FD3">
        <w:t>toms of the condition when either of the following is met:</w:t>
      </w:r>
    </w:p>
    <w:p w14:paraId="394E3DA7" w14:textId="761A42F2" w:rsidR="00F72FD3" w:rsidRDefault="00F72FD3" w:rsidP="00F72FD3">
      <w:pPr>
        <w:pStyle w:val="ListParagraph"/>
        <w:numPr>
          <w:ilvl w:val="0"/>
          <w:numId w:val="41"/>
        </w:numPr>
      </w:pPr>
      <w:r>
        <w:t>Reduction in body surface area (BSA) affected from baseline</w:t>
      </w:r>
    </w:p>
    <w:p w14:paraId="0D95CA58" w14:textId="68872CA8" w:rsidR="00F72FD3" w:rsidRDefault="00F72FD3" w:rsidP="00F72FD3">
      <w:pPr>
        <w:pStyle w:val="ListParagraph"/>
        <w:numPr>
          <w:ilvl w:val="0"/>
          <w:numId w:val="41"/>
        </w:numPr>
      </w:pPr>
      <w:r>
        <w:t>Improvement in signs and symptoms from baseline (e.g., itching, redness, flaking, scaling, burning, cracking, pain)</w:t>
      </w:r>
    </w:p>
    <w:p w14:paraId="21E4C99C" w14:textId="447CEA52" w:rsidR="00F72FD3" w:rsidRDefault="00F72FD3" w:rsidP="00F72FD3">
      <w:pPr>
        <w:pStyle w:val="Heading3"/>
      </w:pPr>
      <w:r w:rsidRPr="00F72FD3">
        <w:t>Psoriatic arthritis (PsA)</w:t>
      </w:r>
      <w:r w:rsidR="00435885" w:rsidRPr="00540386">
        <w:rPr>
          <w:vertAlign w:val="superscript"/>
        </w:rPr>
        <w:t>1,5,1</w:t>
      </w:r>
      <w:r w:rsidR="00411E75">
        <w:rPr>
          <w:vertAlign w:val="superscript"/>
        </w:rPr>
        <w:t>0</w:t>
      </w:r>
      <w:r w:rsidR="00435885" w:rsidRPr="00540386">
        <w:rPr>
          <w:vertAlign w:val="superscript"/>
        </w:rPr>
        <w:t>,1</w:t>
      </w:r>
      <w:r w:rsidR="00411E75">
        <w:rPr>
          <w:vertAlign w:val="superscript"/>
        </w:rPr>
        <w:t>1</w:t>
      </w:r>
    </w:p>
    <w:p w14:paraId="50F60D6E" w14:textId="42E02498" w:rsidR="00F72FD3" w:rsidRDefault="00F72FD3" w:rsidP="004A2168">
      <w:pPr>
        <w:pStyle w:val="BodyText"/>
      </w:pPr>
      <w:r w:rsidRPr="00F72FD3">
        <w:t xml:space="preserve">Authorization of 12 months may be granted for all adult members (including new members) who are using the requested </w:t>
      </w:r>
      <w:r w:rsidRPr="004A2168">
        <w:t>medication</w:t>
      </w:r>
      <w:r w:rsidRPr="00F72FD3">
        <w:t xml:space="preserve"> for psoriatic arthritis and who achieve or maintain a positive clinical response as evidenced by low disease activity or improvement in signs and symptoms of the condition when there is improvement in any of the following from baseline:</w:t>
      </w:r>
    </w:p>
    <w:p w14:paraId="16CF75D4" w14:textId="77777777" w:rsidR="00F72FD3" w:rsidRDefault="00F72FD3" w:rsidP="00F72FD3">
      <w:pPr>
        <w:pStyle w:val="ListParagraph"/>
        <w:numPr>
          <w:ilvl w:val="0"/>
          <w:numId w:val="41"/>
        </w:numPr>
      </w:pPr>
      <w:r>
        <w:t>Number of swollen joints</w:t>
      </w:r>
    </w:p>
    <w:p w14:paraId="2FE808C7" w14:textId="77777777" w:rsidR="00F72FD3" w:rsidRDefault="00F72FD3" w:rsidP="00F72FD3">
      <w:pPr>
        <w:pStyle w:val="ListParagraph"/>
        <w:numPr>
          <w:ilvl w:val="0"/>
          <w:numId w:val="41"/>
        </w:numPr>
      </w:pPr>
      <w:r>
        <w:t>Number of tender joints</w:t>
      </w:r>
    </w:p>
    <w:p w14:paraId="73A58E0F" w14:textId="77777777" w:rsidR="00F72FD3" w:rsidRDefault="00F72FD3" w:rsidP="00F72FD3">
      <w:pPr>
        <w:pStyle w:val="ListParagraph"/>
        <w:numPr>
          <w:ilvl w:val="0"/>
          <w:numId w:val="41"/>
        </w:numPr>
      </w:pPr>
      <w:r>
        <w:t>Dactylitis</w:t>
      </w:r>
    </w:p>
    <w:p w14:paraId="3147D880" w14:textId="77777777" w:rsidR="00F72FD3" w:rsidRDefault="00F72FD3" w:rsidP="00F72FD3">
      <w:pPr>
        <w:pStyle w:val="ListParagraph"/>
        <w:numPr>
          <w:ilvl w:val="0"/>
          <w:numId w:val="41"/>
        </w:numPr>
      </w:pPr>
      <w:r>
        <w:t>Enthesitis</w:t>
      </w:r>
    </w:p>
    <w:p w14:paraId="2C497480" w14:textId="77777777" w:rsidR="00F72FD3" w:rsidRDefault="00F72FD3" w:rsidP="00F72FD3">
      <w:pPr>
        <w:pStyle w:val="ListParagraph"/>
        <w:numPr>
          <w:ilvl w:val="0"/>
          <w:numId w:val="41"/>
        </w:numPr>
      </w:pPr>
      <w:r>
        <w:t>Axial disease</w:t>
      </w:r>
    </w:p>
    <w:p w14:paraId="40135035" w14:textId="19072FB7" w:rsidR="00F72FD3" w:rsidRDefault="00F72FD3" w:rsidP="00F72FD3">
      <w:pPr>
        <w:pStyle w:val="ListParagraph"/>
        <w:numPr>
          <w:ilvl w:val="0"/>
          <w:numId w:val="41"/>
        </w:numPr>
      </w:pPr>
      <w:r>
        <w:t>Skin and/or nail involvement</w:t>
      </w:r>
    </w:p>
    <w:p w14:paraId="46E9C073" w14:textId="278F45CD" w:rsidR="00A96DF4" w:rsidRDefault="00A96DF4" w:rsidP="00F72FD3">
      <w:pPr>
        <w:pStyle w:val="ListParagraph"/>
        <w:numPr>
          <w:ilvl w:val="0"/>
          <w:numId w:val="41"/>
        </w:numPr>
      </w:pPr>
      <w:r>
        <w:t>Functional status</w:t>
      </w:r>
    </w:p>
    <w:p w14:paraId="4DB18C5F" w14:textId="7267803E" w:rsidR="00A96DF4" w:rsidRDefault="00B960D0" w:rsidP="00F72FD3">
      <w:pPr>
        <w:pStyle w:val="ListParagraph"/>
        <w:numPr>
          <w:ilvl w:val="0"/>
          <w:numId w:val="41"/>
        </w:numPr>
      </w:pPr>
      <w:r>
        <w:t>C-reactive protein (CRP)</w:t>
      </w:r>
    </w:p>
    <w:p w14:paraId="5AE91260" w14:textId="41D2F43B" w:rsidR="00F72FD3" w:rsidRDefault="00F72FD3" w:rsidP="00F72FD3">
      <w:pPr>
        <w:pStyle w:val="Heading3"/>
      </w:pPr>
      <w:r w:rsidRPr="00F72FD3">
        <w:t xml:space="preserve">Ankylosing spondylitis (AS) and non-radiographic axial </w:t>
      </w:r>
      <w:proofErr w:type="spellStart"/>
      <w:r w:rsidRPr="00F72FD3">
        <w:t>spondyloarthritis</w:t>
      </w:r>
      <w:proofErr w:type="spellEnd"/>
      <w:r w:rsidRPr="00F72FD3">
        <w:t xml:space="preserve"> (nr-</w:t>
      </w:r>
      <w:proofErr w:type="spellStart"/>
      <w:r w:rsidRPr="00F72FD3">
        <w:t>axSpA</w:t>
      </w:r>
      <w:proofErr w:type="spellEnd"/>
      <w:r w:rsidRPr="00F72FD3">
        <w:t>)</w:t>
      </w:r>
      <w:r w:rsidR="00435885" w:rsidRPr="00540386">
        <w:rPr>
          <w:vertAlign w:val="superscript"/>
        </w:rPr>
        <w:t>1,</w:t>
      </w:r>
      <w:r w:rsidR="00D23FD5">
        <w:rPr>
          <w:vertAlign w:val="superscript"/>
        </w:rPr>
        <w:t>8</w:t>
      </w:r>
      <w:r w:rsidR="00435885" w:rsidRPr="00540386">
        <w:rPr>
          <w:vertAlign w:val="superscript"/>
        </w:rPr>
        <w:t>,</w:t>
      </w:r>
      <w:r w:rsidR="00D23FD5">
        <w:rPr>
          <w:vertAlign w:val="superscript"/>
        </w:rPr>
        <w:t>9</w:t>
      </w:r>
      <w:r w:rsidR="00435885" w:rsidRPr="00540386">
        <w:rPr>
          <w:vertAlign w:val="superscript"/>
        </w:rPr>
        <w:t>,1</w:t>
      </w:r>
      <w:r w:rsidR="00D23FD5">
        <w:rPr>
          <w:vertAlign w:val="superscript"/>
        </w:rPr>
        <w:t>3</w:t>
      </w:r>
    </w:p>
    <w:p w14:paraId="52D5EDA5" w14:textId="2B2FE78E" w:rsidR="00F72FD3" w:rsidRDefault="00F72FD3" w:rsidP="00F72FD3">
      <w:pPr>
        <w:pStyle w:val="BodyText"/>
      </w:pPr>
      <w:r w:rsidRPr="00F72FD3">
        <w:t>Authorization of 12 months may be granted for all adult members (including new members) who are using the requested medication for ankylosing spondylitis or non-radiographic axial spondyloarthritis and who achieve or maintain a positive clinical response as evidenced by low disease activity or improvement in signs and symptoms of the condition when there is improvement in any of the following from baseline:</w:t>
      </w:r>
    </w:p>
    <w:p w14:paraId="468A3A09" w14:textId="635F6AD0" w:rsidR="00F72FD3" w:rsidRDefault="00F72FD3" w:rsidP="00F72FD3">
      <w:pPr>
        <w:pStyle w:val="ListParagraph"/>
        <w:numPr>
          <w:ilvl w:val="0"/>
          <w:numId w:val="41"/>
        </w:numPr>
      </w:pPr>
      <w:r>
        <w:t>Functional status</w:t>
      </w:r>
    </w:p>
    <w:p w14:paraId="3FE133BA" w14:textId="5E91A466" w:rsidR="00F72FD3" w:rsidRDefault="00F72FD3" w:rsidP="00F72FD3">
      <w:pPr>
        <w:pStyle w:val="ListParagraph"/>
        <w:numPr>
          <w:ilvl w:val="0"/>
          <w:numId w:val="41"/>
        </w:numPr>
      </w:pPr>
      <w:r>
        <w:t>Total spinal pain</w:t>
      </w:r>
    </w:p>
    <w:p w14:paraId="79BCC254" w14:textId="145CBA0B" w:rsidR="00F72FD3" w:rsidRDefault="00F72FD3" w:rsidP="00F72FD3">
      <w:pPr>
        <w:pStyle w:val="ListParagraph"/>
        <w:numPr>
          <w:ilvl w:val="0"/>
          <w:numId w:val="41"/>
        </w:numPr>
      </w:pPr>
      <w:r>
        <w:t>Inflammation (e.g., morning stiffness)</w:t>
      </w:r>
    </w:p>
    <w:p w14:paraId="759562DE" w14:textId="168D425A" w:rsidR="00F803D2" w:rsidRDefault="00F803D2" w:rsidP="00F72FD3">
      <w:pPr>
        <w:pStyle w:val="ListParagraph"/>
        <w:numPr>
          <w:ilvl w:val="0"/>
          <w:numId w:val="41"/>
        </w:numPr>
      </w:pPr>
      <w:r>
        <w:t>Swollen joints</w:t>
      </w:r>
    </w:p>
    <w:p w14:paraId="52E849EC" w14:textId="549766AD" w:rsidR="00F803D2" w:rsidRDefault="00F803D2" w:rsidP="00F72FD3">
      <w:pPr>
        <w:pStyle w:val="ListParagraph"/>
        <w:numPr>
          <w:ilvl w:val="0"/>
          <w:numId w:val="41"/>
        </w:numPr>
      </w:pPr>
      <w:r>
        <w:t>Tender joints</w:t>
      </w:r>
    </w:p>
    <w:p w14:paraId="48E0F7FB" w14:textId="57570463" w:rsidR="00F803D2" w:rsidRDefault="00F803D2" w:rsidP="00F72FD3">
      <w:pPr>
        <w:pStyle w:val="ListParagraph"/>
        <w:numPr>
          <w:ilvl w:val="0"/>
          <w:numId w:val="41"/>
        </w:numPr>
      </w:pPr>
      <w:r>
        <w:t>C-reactive protein (CRP)</w:t>
      </w:r>
    </w:p>
    <w:p w14:paraId="05B6DEFF" w14:textId="3064FF17" w:rsidR="008B1332" w:rsidRPr="00540386" w:rsidRDefault="008B1332" w:rsidP="008B1332">
      <w:pPr>
        <w:pStyle w:val="Heading2"/>
        <w:rPr>
          <w:vertAlign w:val="superscript"/>
        </w:rPr>
      </w:pPr>
      <w:r w:rsidRPr="00BD1CC1">
        <w:lastRenderedPageBreak/>
        <w:t>Other</w:t>
      </w:r>
      <w:r w:rsidR="00435885" w:rsidRPr="00540386">
        <w:rPr>
          <w:vertAlign w:val="superscript"/>
        </w:rPr>
        <w:t>1,</w:t>
      </w:r>
      <w:r w:rsidR="00364781">
        <w:rPr>
          <w:vertAlign w:val="superscript"/>
        </w:rPr>
        <w:t>7</w:t>
      </w:r>
    </w:p>
    <w:p w14:paraId="0CC751AF" w14:textId="749B7147" w:rsidR="00AB6725" w:rsidRDefault="00AB6725" w:rsidP="004A2168">
      <w:pPr>
        <w:pStyle w:val="BodyText"/>
      </w:pPr>
      <w:r w:rsidRPr="00AB6725">
        <w:t>For all indications: Member has had a documented negative tuberculosis (TB) test (which can include a tuberculosis skin test [</w:t>
      </w:r>
      <w:r w:rsidR="00732D00">
        <w:t>TST</w:t>
      </w:r>
      <w:r w:rsidRPr="00AB6725">
        <w:t>]</w:t>
      </w:r>
      <w:r w:rsidR="00D75C1D">
        <w:t xml:space="preserve"> or</w:t>
      </w:r>
      <w:r w:rsidRPr="00AB6725">
        <w:t xml:space="preserve"> an interferon-release assay [IGRA]) within </w:t>
      </w:r>
      <w:r w:rsidR="00470205">
        <w:t>12</w:t>
      </w:r>
      <w:r w:rsidRPr="00AB6725">
        <w:t xml:space="preserve"> months of initiating therapy for persons who are naïve to biologic drugs or targeted synthetic drugs associated with an increased risk of TB.</w:t>
      </w:r>
    </w:p>
    <w:p w14:paraId="2824807F" w14:textId="2E13C82E" w:rsidR="00AB6725" w:rsidRDefault="00AB6725" w:rsidP="004A2168">
      <w:pPr>
        <w:pStyle w:val="BodyText"/>
      </w:pPr>
      <w:r w:rsidRPr="00AB6725">
        <w:t>If the screening testing for TB is positive, there must be further testing to confirm there is no active disease</w:t>
      </w:r>
      <w:r w:rsidR="001756CB">
        <w:t xml:space="preserve"> (e.g., chest x-ray)</w:t>
      </w:r>
      <w:r w:rsidRPr="00AB6725">
        <w:t>. Do not administer the requested medication to members with active TB infection. If there is latent disease, TB treatment must be started before initiation of the requested medication.</w:t>
      </w:r>
    </w:p>
    <w:p w14:paraId="077E1617" w14:textId="22EF6919" w:rsidR="00AB6725" w:rsidRDefault="00AB6725" w:rsidP="004A2168">
      <w:pPr>
        <w:pStyle w:val="BodyText"/>
      </w:pPr>
      <w:r w:rsidRPr="00AB6725">
        <w:t>For all indications: Member cannot use the requested medication concomitantly with any other biologic drug or targeted synthetic drug</w:t>
      </w:r>
      <w:r w:rsidR="009B10D4">
        <w:t xml:space="preserve"> for the same indication</w:t>
      </w:r>
      <w:r w:rsidRPr="00AB6725">
        <w:t>.</w:t>
      </w:r>
    </w:p>
    <w:p w14:paraId="784D6ED7" w14:textId="3FD5C610" w:rsidR="008B1332" w:rsidRDefault="00B65538" w:rsidP="008B1332">
      <w:pPr>
        <w:pStyle w:val="Heading2"/>
      </w:pPr>
      <w:r w:rsidRPr="00BD1CC1">
        <w:t>Appendix</w:t>
      </w:r>
    </w:p>
    <w:p w14:paraId="5EAF98C6" w14:textId="2D9AF2DC" w:rsidR="00AB6725" w:rsidRDefault="00AB6725" w:rsidP="00AB6725">
      <w:pPr>
        <w:pStyle w:val="Heading3"/>
      </w:pPr>
      <w:r w:rsidRPr="00AB6725">
        <w:t>Examples of Clinical Reasons to Avoid Pharmacologic Treatment with Methotrexate, Cyclosporine, Acitretin, or Leflunomide</w:t>
      </w:r>
      <w:r w:rsidR="003E300C" w:rsidRPr="00540386">
        <w:rPr>
          <w:vertAlign w:val="superscript"/>
        </w:rPr>
        <w:t>1</w:t>
      </w:r>
      <w:r w:rsidR="006F25E2">
        <w:rPr>
          <w:vertAlign w:val="superscript"/>
        </w:rPr>
        <w:t>2</w:t>
      </w:r>
    </w:p>
    <w:p w14:paraId="0CA511C3" w14:textId="2A0E7E63" w:rsidR="00AB6725" w:rsidRDefault="00AB6725" w:rsidP="00AB6725">
      <w:pPr>
        <w:pStyle w:val="ListParagraph"/>
      </w:pPr>
      <w:r>
        <w:t>Clinical diagnosis of alcohol use disorder, alcoholic liver disease, or other chronic liver disease</w:t>
      </w:r>
    </w:p>
    <w:p w14:paraId="33A72E4C" w14:textId="09135E0E" w:rsidR="00AB6725" w:rsidRDefault="00AB6725" w:rsidP="00AB6725">
      <w:pPr>
        <w:pStyle w:val="ListParagraph"/>
      </w:pPr>
      <w:r>
        <w:t>Drug interaction</w:t>
      </w:r>
    </w:p>
    <w:p w14:paraId="2FA7E5E3" w14:textId="470BFA81" w:rsidR="00AB6725" w:rsidRDefault="00AB6725" w:rsidP="00AB6725">
      <w:pPr>
        <w:pStyle w:val="ListParagraph"/>
      </w:pPr>
      <w:r>
        <w:t>Risk of treatment-related toxicity</w:t>
      </w:r>
    </w:p>
    <w:p w14:paraId="572B0BDB" w14:textId="77777777" w:rsidR="00AB6725" w:rsidRDefault="00AB6725" w:rsidP="00AB6725">
      <w:pPr>
        <w:pStyle w:val="ListParagraph"/>
      </w:pPr>
      <w:r>
        <w:t>Pregnancy or currently planning pregnancy</w:t>
      </w:r>
    </w:p>
    <w:p w14:paraId="2972BAF5" w14:textId="77777777" w:rsidR="00AB6725" w:rsidRDefault="00AB6725" w:rsidP="00AB6725">
      <w:pPr>
        <w:pStyle w:val="ListParagraph"/>
      </w:pPr>
      <w:r>
        <w:t>Breastfeeding</w:t>
      </w:r>
    </w:p>
    <w:p w14:paraId="317B2026" w14:textId="77777777" w:rsidR="00AB6725" w:rsidRDefault="00AB6725" w:rsidP="00AB6725">
      <w:pPr>
        <w:pStyle w:val="ListParagraph"/>
      </w:pPr>
      <w:r>
        <w:t>Significant comorbidity prohibits use of systemic agents (e.g., liver or kidney disease, blood dyscrasias, uncontrolled hypertension)</w:t>
      </w:r>
    </w:p>
    <w:p w14:paraId="5B8D0ECC" w14:textId="77777777" w:rsidR="00AB6725" w:rsidRDefault="00AB6725" w:rsidP="00AB6725">
      <w:pPr>
        <w:pStyle w:val="ListParagraph"/>
      </w:pPr>
      <w:r>
        <w:t>Hypersensitivity</w:t>
      </w:r>
    </w:p>
    <w:p w14:paraId="5D66649E" w14:textId="4D7D7C67" w:rsidR="00AB6725" w:rsidRPr="00AB6725" w:rsidRDefault="00AB6725" w:rsidP="00AB6725">
      <w:pPr>
        <w:pStyle w:val="ListParagraph"/>
      </w:pPr>
      <w:r>
        <w:t>History of intolerance or adverse event</w:t>
      </w:r>
    </w:p>
    <w:p w14:paraId="3407B33B" w14:textId="31960247" w:rsidR="00420545" w:rsidRPr="00BD1CC1" w:rsidRDefault="00420545" w:rsidP="00F70900">
      <w:pPr>
        <w:pStyle w:val="Heading2"/>
      </w:pPr>
      <w:r w:rsidRPr="00BD1CC1">
        <w:t>Dosage and Administration</w:t>
      </w:r>
    </w:p>
    <w:p w14:paraId="0BC9FFD3" w14:textId="15305A47" w:rsidR="00FD000B" w:rsidRDefault="00AB6725" w:rsidP="00C52389">
      <w:pPr>
        <w:pStyle w:val="BodyText"/>
      </w:pPr>
      <w:r w:rsidRPr="00AB6725">
        <w:t>Approvals may be subject to dosing limits in accordance with FDA-approved labeling, accepted compendia, and/or evidence-based practice guidelines</w:t>
      </w:r>
      <w:r w:rsidR="00E93E05" w:rsidRPr="00BD1CC1">
        <w:t>.</w:t>
      </w: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</w:p>
    <w:p w14:paraId="10DA4309" w14:textId="638EE159" w:rsidR="00FF66BF" w:rsidRPr="008D1B34" w:rsidRDefault="00FF66BF" w:rsidP="00FF66BF">
      <w:pPr>
        <w:pStyle w:val="Heading2"/>
      </w:pPr>
      <w:r w:rsidRPr="008D1B34">
        <w:t>References</w:t>
      </w:r>
    </w:p>
    <w:p w14:paraId="0FCB2ED9" w14:textId="15542E4D" w:rsidR="004A2168" w:rsidRDefault="00AB6725" w:rsidP="00E97809">
      <w:pPr>
        <w:pStyle w:val="ReferenceOrdered"/>
        <w:ind w:left="360"/>
      </w:pPr>
      <w:r>
        <w:t xml:space="preserve">Taltz [package insert]. Indianapolis, IN: Eli Lilly and Company; </w:t>
      </w:r>
      <w:r w:rsidR="00CB0BD3">
        <w:t>August</w:t>
      </w:r>
      <w:r>
        <w:t xml:space="preserve"> 202</w:t>
      </w:r>
      <w:r w:rsidR="00CB0BD3">
        <w:t>4</w:t>
      </w:r>
      <w:r>
        <w:t>.</w:t>
      </w:r>
    </w:p>
    <w:p w14:paraId="33874C45" w14:textId="561191AC" w:rsidR="00AB6725" w:rsidRDefault="00AB6725" w:rsidP="00E97809">
      <w:pPr>
        <w:pStyle w:val="ReferenceOrdered"/>
        <w:ind w:left="360"/>
      </w:pPr>
      <w:proofErr w:type="spellStart"/>
      <w:r w:rsidRPr="00E97809">
        <w:lastRenderedPageBreak/>
        <w:t>Menter</w:t>
      </w:r>
      <w:proofErr w:type="spellEnd"/>
      <w:r w:rsidRPr="00E97809">
        <w:t xml:space="preserve"> A, </w:t>
      </w:r>
      <w:proofErr w:type="spellStart"/>
      <w:r w:rsidRPr="00E97809">
        <w:t>Korman</w:t>
      </w:r>
      <w:proofErr w:type="spellEnd"/>
      <w:r w:rsidRPr="00E97809">
        <w:t xml:space="preserve"> NJ, Elmets CA, et al. </w:t>
      </w:r>
      <w:r>
        <w:t xml:space="preserve">Guidelines of care for the management of psoriasis and psoriatic arthritis. Section 6: Guidelines of care for the treatment of psoriasis and psoriatic arthritis: case-based presentations and evidence-based conclusions. J Am </w:t>
      </w:r>
      <w:proofErr w:type="spellStart"/>
      <w:r>
        <w:t>Acad</w:t>
      </w:r>
      <w:proofErr w:type="spellEnd"/>
      <w:r>
        <w:t xml:space="preserve"> Dermatol. 2011;65(1):137-174.</w:t>
      </w:r>
    </w:p>
    <w:p w14:paraId="6885D3B9" w14:textId="77777777" w:rsidR="00AB6725" w:rsidRDefault="00AB6725" w:rsidP="00E97809">
      <w:pPr>
        <w:pStyle w:val="ReferenceOrdered"/>
        <w:ind w:left="360"/>
      </w:pPr>
      <w:r w:rsidRPr="00E97809">
        <w:t xml:space="preserve">Menter A, Korman NJ, Elmets CA, et al. </w:t>
      </w:r>
      <w:r>
        <w:t xml:space="preserve">Guidelines of care for the management of psoriasis and psoriatic arthritis. Section 4: Guidelines of care for the management and treatment of psoriasis with traditional systemic agents. J Am </w:t>
      </w:r>
      <w:proofErr w:type="spellStart"/>
      <w:r>
        <w:t>Acad</w:t>
      </w:r>
      <w:proofErr w:type="spellEnd"/>
      <w:r>
        <w:t xml:space="preserve"> Dermatol. 2009;61:451-485.</w:t>
      </w:r>
    </w:p>
    <w:p w14:paraId="7118462F" w14:textId="77777777" w:rsidR="00AB6725" w:rsidRDefault="00AB6725" w:rsidP="00E97809">
      <w:pPr>
        <w:pStyle w:val="ReferenceOrdered"/>
        <w:ind w:left="360"/>
      </w:pPr>
      <w:r w:rsidRPr="007C70F5">
        <w:t xml:space="preserve">Griffiths CE, Reich K, Lebwohl M, et al. </w:t>
      </w:r>
      <w:r>
        <w:t xml:space="preserve">Comparison of </w:t>
      </w:r>
      <w:proofErr w:type="spellStart"/>
      <w:r>
        <w:t>ixekizumab</w:t>
      </w:r>
      <w:proofErr w:type="spellEnd"/>
      <w:r>
        <w:t xml:space="preserve"> with etanercept or placebo in moderate-to-severe psoriasis (UNCOVER-2 and UNCOVER-3): results from two phase 3 </w:t>
      </w:r>
      <w:proofErr w:type="spellStart"/>
      <w:r>
        <w:t>randomised</w:t>
      </w:r>
      <w:proofErr w:type="spellEnd"/>
      <w:r>
        <w:t xml:space="preserve"> trials. Lancet. 2015;386(9993):541-51.</w:t>
      </w:r>
    </w:p>
    <w:p w14:paraId="4B495B14" w14:textId="506D001C" w:rsidR="00AB6725" w:rsidRDefault="00AB6725" w:rsidP="00E97809">
      <w:pPr>
        <w:pStyle w:val="ReferenceOrdered"/>
        <w:ind w:left="360"/>
      </w:pPr>
      <w:proofErr w:type="spellStart"/>
      <w:r>
        <w:t>Gossec</w:t>
      </w:r>
      <w:proofErr w:type="spellEnd"/>
      <w:r>
        <w:t xml:space="preserve"> L, </w:t>
      </w:r>
      <w:proofErr w:type="spellStart"/>
      <w:r>
        <w:t>Baraliakos</w:t>
      </w:r>
      <w:proofErr w:type="spellEnd"/>
      <w:r>
        <w:t xml:space="preserve"> X, </w:t>
      </w:r>
      <w:proofErr w:type="spellStart"/>
      <w:r>
        <w:t>Kerschbaumer</w:t>
      </w:r>
      <w:proofErr w:type="spellEnd"/>
      <w:r>
        <w:t xml:space="preserve"> A, et al. European League Against Rheumatism (EULAR) recommendations for the management of psoriatic arthritis with pharmacological therapies: 2019 update. Ann Rheum Dis. 2020;79(6):700-712.</w:t>
      </w:r>
    </w:p>
    <w:p w14:paraId="772E7EAE" w14:textId="295EA829" w:rsidR="00AB6725" w:rsidRDefault="00AB6725" w:rsidP="00E97809">
      <w:pPr>
        <w:pStyle w:val="ReferenceOrdered"/>
        <w:ind w:left="360"/>
      </w:pPr>
      <w:proofErr w:type="spellStart"/>
      <w:r>
        <w:t>Menter</w:t>
      </w:r>
      <w:proofErr w:type="spellEnd"/>
      <w:r>
        <w:t xml:space="preserve"> A, Strober BE, Kaplan DH, et al. Joint AAD-NPF guidelines of care for the management and treatment of psoriasis with biologics. J Am </w:t>
      </w:r>
      <w:proofErr w:type="spellStart"/>
      <w:r>
        <w:t>Acad</w:t>
      </w:r>
      <w:proofErr w:type="spellEnd"/>
      <w:r>
        <w:t xml:space="preserve"> Dermatol. 2019;80(4):1029-1072.</w:t>
      </w:r>
    </w:p>
    <w:p w14:paraId="4DBED046" w14:textId="3B1F1AE9" w:rsidR="00AB6725" w:rsidRDefault="00AB6725" w:rsidP="00E97809">
      <w:pPr>
        <w:pStyle w:val="ReferenceOrdered"/>
        <w:ind w:left="360"/>
      </w:pPr>
      <w:r>
        <w:t xml:space="preserve">Testing for TB Infection. Centers for Disease Control and Prevention. Retrieved on January </w:t>
      </w:r>
      <w:r w:rsidR="00E4347A">
        <w:t>22</w:t>
      </w:r>
      <w:r>
        <w:t xml:space="preserve">, </w:t>
      </w:r>
      <w:proofErr w:type="gramStart"/>
      <w:r>
        <w:t>202</w:t>
      </w:r>
      <w:r w:rsidR="00E4347A">
        <w:t>5</w:t>
      </w:r>
      <w:proofErr w:type="gramEnd"/>
      <w:r>
        <w:t xml:space="preserve"> from: </w:t>
      </w:r>
      <w:r w:rsidR="00E4347A" w:rsidRPr="00E4347A">
        <w:t>https://www.cdc.gov/tb/testing/index.html</w:t>
      </w:r>
      <w:r>
        <w:t>.</w:t>
      </w:r>
    </w:p>
    <w:p w14:paraId="2C48D909" w14:textId="0491B753" w:rsidR="00AB6725" w:rsidRDefault="00AB6725" w:rsidP="00E97809">
      <w:pPr>
        <w:pStyle w:val="ReferenceOrdered"/>
        <w:ind w:left="360"/>
      </w:pPr>
      <w:r>
        <w:t xml:space="preserve">Braun J, van den Berg R, </w:t>
      </w:r>
      <w:proofErr w:type="spellStart"/>
      <w:r>
        <w:t>Baraliakos</w:t>
      </w:r>
      <w:proofErr w:type="spellEnd"/>
      <w:r>
        <w:t xml:space="preserve"> X, et al. 2010 update of the ASAS/EULAR recommendations for the management of ankylosing spondylitis. Ann Rheum Dis</w:t>
      </w:r>
      <w:r w:rsidR="00B24E41">
        <w:t>.</w:t>
      </w:r>
      <w:r>
        <w:t xml:space="preserve"> </w:t>
      </w:r>
      <w:proofErr w:type="gramStart"/>
      <w:r>
        <w:t>2011;70:896</w:t>
      </w:r>
      <w:proofErr w:type="gramEnd"/>
      <w:r>
        <w:t>–904.</w:t>
      </w:r>
    </w:p>
    <w:p w14:paraId="01BAEC50" w14:textId="77777777" w:rsidR="00AB6725" w:rsidRDefault="00AB6725" w:rsidP="00E97809">
      <w:pPr>
        <w:pStyle w:val="ReferenceOrdered"/>
        <w:ind w:left="360"/>
      </w:pPr>
      <w:r>
        <w:t xml:space="preserve">Ward MM, Deodhar A, Gensler LS, et al. 2019 Update of the American College of Rheumatology/Spondylitis Association of America/Spondyloarthritis Research and Treatment Network Recommendations for the treatment of ankylosing spondylitis and </w:t>
      </w:r>
      <w:proofErr w:type="spellStart"/>
      <w:r>
        <w:t>nonradiographic</w:t>
      </w:r>
      <w:proofErr w:type="spellEnd"/>
      <w:r>
        <w:t xml:space="preserve"> axial </w:t>
      </w:r>
      <w:proofErr w:type="spellStart"/>
      <w:r>
        <w:t>spondyloarthritis</w:t>
      </w:r>
      <w:proofErr w:type="spellEnd"/>
      <w:r>
        <w:t xml:space="preserve">. Arthritis </w:t>
      </w:r>
      <w:proofErr w:type="spellStart"/>
      <w:r>
        <w:t>Rheumatol</w:t>
      </w:r>
      <w:proofErr w:type="spellEnd"/>
      <w:r>
        <w:t>. 2019;71(10):1285-1299.</w:t>
      </w:r>
    </w:p>
    <w:p w14:paraId="2C8D7563" w14:textId="77777777" w:rsidR="00AB6725" w:rsidRDefault="00AB6725" w:rsidP="00E97809">
      <w:pPr>
        <w:pStyle w:val="ReferenceOrdered"/>
        <w:ind w:left="360"/>
      </w:pPr>
      <w:r>
        <w:t xml:space="preserve">Singh JA, Guyatt G, </w:t>
      </w:r>
      <w:proofErr w:type="spellStart"/>
      <w:r>
        <w:t>Ogdie</w:t>
      </w:r>
      <w:proofErr w:type="spellEnd"/>
      <w:r>
        <w:t xml:space="preserve"> A, et al. 2018 American College of Rheumatology/National Psoriasis Foundation Guideline for the Treatment of Psoriatic Arthritis. Arthritis Rheum. 2018;71:5-32.</w:t>
      </w:r>
    </w:p>
    <w:p w14:paraId="0F83216E" w14:textId="77777777" w:rsidR="00AB6725" w:rsidRDefault="00AB6725" w:rsidP="00E97809">
      <w:pPr>
        <w:pStyle w:val="ReferenceOrdered"/>
        <w:ind w:left="360"/>
      </w:pPr>
      <w:r>
        <w:t xml:space="preserve">Coates LC, Soriano ER, Corp N, et al. Group for Research and Assessment of Psoriasis and Psoriatic Arthritis (GRAPPA): updated treatment recommendations for psoriatic arthritis 2021. Nat Rev </w:t>
      </w:r>
      <w:proofErr w:type="spellStart"/>
      <w:r>
        <w:t>Rheumatol</w:t>
      </w:r>
      <w:proofErr w:type="spellEnd"/>
      <w:r>
        <w:t>. 2022;18(8):465-479.</w:t>
      </w:r>
    </w:p>
    <w:p w14:paraId="34A62000" w14:textId="77777777" w:rsidR="00AB6725" w:rsidRDefault="00AB6725" w:rsidP="00E97809">
      <w:pPr>
        <w:pStyle w:val="ReferenceOrdered"/>
        <w:ind w:left="360"/>
      </w:pPr>
      <w:proofErr w:type="spellStart"/>
      <w:r>
        <w:t>Menter</w:t>
      </w:r>
      <w:proofErr w:type="spellEnd"/>
      <w:r>
        <w:t xml:space="preserve"> A, Gelfand JM, Connor C, et al. Joint American Academy of Dermatology-National Psoriasis Foundation guidelines of care for the management of psoriasis with systemic nonbiologic therapies. J Am </w:t>
      </w:r>
      <w:proofErr w:type="spellStart"/>
      <w:r>
        <w:t>Acad</w:t>
      </w:r>
      <w:proofErr w:type="spellEnd"/>
      <w:r>
        <w:t xml:space="preserve"> Dermatol. 2020;82(6):1445-1486.</w:t>
      </w:r>
    </w:p>
    <w:p w14:paraId="47E1A10C" w14:textId="7B53AF9E" w:rsidR="00C44990" w:rsidRDefault="00AB6725" w:rsidP="00E97809">
      <w:pPr>
        <w:pStyle w:val="ReferenceOrdered"/>
        <w:ind w:left="360"/>
      </w:pPr>
      <w:r w:rsidRPr="00E97809">
        <w:t xml:space="preserve">Ramiro S, Nikiphorou E, Sepriano A, et al. </w:t>
      </w:r>
      <w:r>
        <w:t xml:space="preserve">ASAS-EULAR recommendations for the management of axial spondyloarthritis: 2022 update. Ann Rheum Dis. </w:t>
      </w:r>
      <w:proofErr w:type="gramStart"/>
      <w:r>
        <w:t>2023;82:19</w:t>
      </w:r>
      <w:proofErr w:type="gramEnd"/>
      <w:r>
        <w:t>-34</w:t>
      </w:r>
      <w:r w:rsidR="00FF66BF" w:rsidRPr="00BD1CC1">
        <w:t>.</w:t>
      </w:r>
    </w:p>
    <w:sectPr w:rsidR="00C44990" w:rsidSect="000B3732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417F5" w14:textId="77777777" w:rsidR="009201D7" w:rsidRDefault="009201D7">
      <w:r>
        <w:separator/>
      </w:r>
    </w:p>
  </w:endnote>
  <w:endnote w:type="continuationSeparator" w:id="0">
    <w:p w14:paraId="6B3B8099" w14:textId="77777777" w:rsidR="009201D7" w:rsidRDefault="009201D7">
      <w:r>
        <w:continuationSeparator/>
      </w:r>
    </w:p>
  </w:endnote>
  <w:endnote w:type="continuationNotice" w:id="1">
    <w:p w14:paraId="68B22B64" w14:textId="77777777" w:rsidR="009201D7" w:rsidRDefault="009201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ECA4B0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7C70F5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84183" w:rsidRPr="00984183">
      <w:rPr>
        <w:rFonts w:cs="Arial"/>
        <w:noProof/>
        <w:sz w:val="16"/>
        <w:szCs w:val="16"/>
        <w:lang w:val="pt-BR"/>
      </w:rPr>
      <w:t>Taltz</w:t>
    </w:r>
    <w:r w:rsidR="00984183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2013-A</w:t>
    </w:r>
    <w:r w:rsidR="00984183" w:rsidRPr="00984183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7C70F5">
      <w:rPr>
        <w:rFonts w:cs="Arial"/>
        <w:snapToGrid w:val="0"/>
        <w:color w:val="000000"/>
        <w:sz w:val="16"/>
        <w:lang w:val="pt-BR"/>
      </w:rPr>
      <w:tab/>
      <w:t>© 202</w:t>
    </w:r>
    <w:r w:rsidR="00BC1696">
      <w:rPr>
        <w:rFonts w:cs="Arial"/>
        <w:snapToGrid w:val="0"/>
        <w:color w:val="000000"/>
        <w:sz w:val="16"/>
        <w:lang w:val="pt-BR"/>
      </w:rPr>
      <w:t>5</w:t>
    </w:r>
    <w:r w:rsidRPr="007C70F5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0B42019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6C1DE93" w:rsidR="00F75C81" w:rsidRPr="00AA1E6A" w:rsidRDefault="00C36B72" w:rsidP="00E9780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67770D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7C70F5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13048" w:rsidRPr="00613048">
      <w:rPr>
        <w:rFonts w:cs="Arial"/>
        <w:noProof/>
        <w:sz w:val="16"/>
        <w:szCs w:val="16"/>
        <w:lang w:val="pt-BR"/>
      </w:rPr>
      <w:t>Taltz</w:t>
    </w:r>
    <w:r w:rsidR="00613048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2013-A</w:t>
    </w:r>
    <w:r w:rsidR="00613048" w:rsidRPr="00613048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7C70F5">
      <w:rPr>
        <w:rFonts w:cs="Arial"/>
        <w:snapToGrid w:val="0"/>
        <w:color w:val="000000"/>
        <w:sz w:val="16"/>
        <w:lang w:val="pt-BR"/>
      </w:rPr>
      <w:tab/>
      <w:t>© 202</w:t>
    </w:r>
    <w:r w:rsidR="00BC1696">
      <w:rPr>
        <w:rFonts w:cs="Arial"/>
        <w:snapToGrid w:val="0"/>
        <w:color w:val="000000"/>
        <w:sz w:val="16"/>
        <w:lang w:val="pt-BR"/>
      </w:rPr>
      <w:t>5</w:t>
    </w:r>
    <w:r w:rsidRPr="007C70F5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421DF8B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47F91BA" w:rsidR="00ED04EC" w:rsidRPr="00F50D98" w:rsidRDefault="00F50D98" w:rsidP="00E9780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4A46" w14:textId="77777777" w:rsidR="009201D7" w:rsidRDefault="009201D7">
      <w:r>
        <w:separator/>
      </w:r>
    </w:p>
  </w:footnote>
  <w:footnote w:type="continuationSeparator" w:id="0">
    <w:p w14:paraId="7BDED8B1" w14:textId="77777777" w:rsidR="009201D7" w:rsidRDefault="009201D7">
      <w:r>
        <w:continuationSeparator/>
      </w:r>
    </w:p>
  </w:footnote>
  <w:footnote w:type="continuationNotice" w:id="1">
    <w:p w14:paraId="4399262A" w14:textId="77777777" w:rsidR="009201D7" w:rsidRDefault="009201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BD79C7B" w:rsidR="00ED04EC" w:rsidRPr="00AA1E6A" w:rsidRDefault="00ED04EC" w:rsidP="00ED04EC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6912BF" w:rsidRPr="00BD1CC1" w14:paraId="323E7D1F" w14:textId="77777777" w:rsidTr="00BF2D79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44D81F88" w14:textId="77777777" w:rsidR="006912BF" w:rsidRPr="00EC47B6" w:rsidRDefault="006912BF" w:rsidP="006912BF">
          <w:pPr>
            <w:pStyle w:val="RefTableData"/>
          </w:pPr>
          <w:r w:rsidRPr="00F246C7">
            <w:t>Reference number(s</w:t>
          </w:r>
          <w:r w:rsidRPr="00EC47B6">
            <w:t>)</w:t>
          </w:r>
        </w:p>
      </w:tc>
    </w:tr>
    <w:tr w:rsidR="006912BF" w:rsidRPr="00BD1CC1" w14:paraId="61FAFAFA" w14:textId="77777777" w:rsidTr="00BF2D79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52EA80" w14:textId="77777777" w:rsidR="006912BF" w:rsidRPr="00FF66BF" w:rsidRDefault="006912BF" w:rsidP="006912BF">
          <w:pPr>
            <w:pStyle w:val="RefTableHeader"/>
          </w:pPr>
          <w:r w:rsidRPr="00304036">
            <w:t>2013-A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642A2E52"/>
    <w:lvl w:ilvl="0" w:tplc="883E46B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1E72D35"/>
    <w:multiLevelType w:val="hybridMultilevel"/>
    <w:tmpl w:val="DFBCC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6B2A48"/>
    <w:multiLevelType w:val="hybridMultilevel"/>
    <w:tmpl w:val="97982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80252B"/>
    <w:multiLevelType w:val="hybridMultilevel"/>
    <w:tmpl w:val="2286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FB5B33"/>
    <w:multiLevelType w:val="hybridMultilevel"/>
    <w:tmpl w:val="FE1AD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7C6FA5"/>
    <w:multiLevelType w:val="hybridMultilevel"/>
    <w:tmpl w:val="D270C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A316C"/>
    <w:multiLevelType w:val="hybridMultilevel"/>
    <w:tmpl w:val="59102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DD0062"/>
    <w:multiLevelType w:val="hybridMultilevel"/>
    <w:tmpl w:val="D75EB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678FA"/>
    <w:multiLevelType w:val="hybridMultilevel"/>
    <w:tmpl w:val="DE2498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CA3765"/>
    <w:multiLevelType w:val="hybridMultilevel"/>
    <w:tmpl w:val="CCD6A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131A0"/>
    <w:multiLevelType w:val="hybridMultilevel"/>
    <w:tmpl w:val="E3A61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53B72"/>
    <w:multiLevelType w:val="hybridMultilevel"/>
    <w:tmpl w:val="51DCF8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15459"/>
    <w:multiLevelType w:val="hybridMultilevel"/>
    <w:tmpl w:val="FCA29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1B01A0"/>
    <w:multiLevelType w:val="hybridMultilevel"/>
    <w:tmpl w:val="28D85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874C9"/>
    <w:multiLevelType w:val="hybridMultilevel"/>
    <w:tmpl w:val="A5F4F7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3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3"/>
  </w:num>
  <w:num w:numId="16" w16cid:durableId="898320195">
    <w:abstractNumId w:val="23"/>
  </w:num>
  <w:num w:numId="17" w16cid:durableId="2128498676">
    <w:abstractNumId w:val="39"/>
  </w:num>
  <w:num w:numId="18" w16cid:durableId="299724409">
    <w:abstractNumId w:val="29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40"/>
  </w:num>
  <w:num w:numId="22" w16cid:durableId="1472481103">
    <w:abstractNumId w:val="31"/>
  </w:num>
  <w:num w:numId="23" w16cid:durableId="1997420403">
    <w:abstractNumId w:val="35"/>
  </w:num>
  <w:num w:numId="24" w16cid:durableId="33312838">
    <w:abstractNumId w:val="30"/>
  </w:num>
  <w:num w:numId="25" w16cid:durableId="507404939">
    <w:abstractNumId w:val="22"/>
  </w:num>
  <w:num w:numId="26" w16cid:durableId="1246762929">
    <w:abstractNumId w:val="19"/>
  </w:num>
  <w:num w:numId="27" w16cid:durableId="236214991">
    <w:abstractNumId w:val="12"/>
  </w:num>
  <w:num w:numId="28" w16cid:durableId="1805387244">
    <w:abstractNumId w:val="36"/>
  </w:num>
  <w:num w:numId="29" w16cid:durableId="318074592">
    <w:abstractNumId w:val="38"/>
  </w:num>
  <w:num w:numId="30" w16cid:durableId="657150942">
    <w:abstractNumId w:val="21"/>
  </w:num>
  <w:num w:numId="31" w16cid:durableId="1080978887">
    <w:abstractNumId w:val="40"/>
  </w:num>
  <w:num w:numId="32" w16cid:durableId="1246956755">
    <w:abstractNumId w:val="40"/>
  </w:num>
  <w:num w:numId="33" w16cid:durableId="141964412">
    <w:abstractNumId w:val="24"/>
  </w:num>
  <w:num w:numId="34" w16cid:durableId="1428962535">
    <w:abstractNumId w:val="40"/>
  </w:num>
  <w:num w:numId="35" w16cid:durableId="1209101687">
    <w:abstractNumId w:val="26"/>
  </w:num>
  <w:num w:numId="36" w16cid:durableId="1015381379">
    <w:abstractNumId w:val="40"/>
  </w:num>
  <w:num w:numId="37" w16cid:durableId="697392821">
    <w:abstractNumId w:val="11"/>
  </w:num>
  <w:num w:numId="38" w16cid:durableId="1121343030">
    <w:abstractNumId w:val="34"/>
  </w:num>
  <w:num w:numId="39" w16cid:durableId="715664516">
    <w:abstractNumId w:val="40"/>
  </w:num>
  <w:num w:numId="40" w16cid:durableId="1904680819">
    <w:abstractNumId w:val="20"/>
  </w:num>
  <w:num w:numId="41" w16cid:durableId="1808815225">
    <w:abstractNumId w:val="37"/>
  </w:num>
  <w:num w:numId="42" w16cid:durableId="1192231310">
    <w:abstractNumId w:val="32"/>
  </w:num>
  <w:num w:numId="43" w16cid:durableId="773785423">
    <w:abstractNumId w:val="40"/>
  </w:num>
  <w:num w:numId="44" w16cid:durableId="468208780">
    <w:abstractNumId w:val="27"/>
  </w:num>
  <w:num w:numId="45" w16cid:durableId="147862451">
    <w:abstractNumId w:val="40"/>
  </w:num>
  <w:num w:numId="46" w16cid:durableId="903031478">
    <w:abstractNumId w:val="25"/>
  </w:num>
  <w:num w:numId="47" w16cid:durableId="1718821043">
    <w:abstractNumId w:val="40"/>
  </w:num>
  <w:num w:numId="48" w16cid:durableId="1438216680">
    <w:abstractNumId w:val="40"/>
  </w:num>
  <w:num w:numId="49" w16cid:durableId="2138714772">
    <w:abstractNumId w:val="33"/>
  </w:num>
  <w:num w:numId="50" w16cid:durableId="816996297">
    <w:abstractNumId w:val="10"/>
  </w:num>
  <w:num w:numId="51" w16cid:durableId="1703051130">
    <w:abstractNumId w:val="33"/>
  </w:num>
  <w:num w:numId="52" w16cid:durableId="607323066">
    <w:abstractNumId w:val="33"/>
  </w:num>
  <w:num w:numId="53" w16cid:durableId="723062183">
    <w:abstractNumId w:val="18"/>
  </w:num>
  <w:num w:numId="54" w16cid:durableId="827549447">
    <w:abstractNumId w:val="4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9F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6B78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3732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7E6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D00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6C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4CD"/>
    <w:rsid w:val="001A7761"/>
    <w:rsid w:val="001B20D2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EDB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1E26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108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16D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3FB1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E81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349"/>
    <w:rsid w:val="002504F9"/>
    <w:rsid w:val="00250C39"/>
    <w:rsid w:val="00250E25"/>
    <w:rsid w:val="00251EE2"/>
    <w:rsid w:val="00251F49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A51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93F"/>
    <w:rsid w:val="00292E08"/>
    <w:rsid w:val="00293003"/>
    <w:rsid w:val="00293574"/>
    <w:rsid w:val="00294324"/>
    <w:rsid w:val="002946D4"/>
    <w:rsid w:val="002947C0"/>
    <w:rsid w:val="00295E6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843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036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1DBF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781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B5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265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00C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B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E75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885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A01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205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BB1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3D4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168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386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7F3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0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26C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929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048"/>
    <w:rsid w:val="00613278"/>
    <w:rsid w:val="006138E0"/>
    <w:rsid w:val="00613BFA"/>
    <w:rsid w:val="00614799"/>
    <w:rsid w:val="00615D0E"/>
    <w:rsid w:val="0061673E"/>
    <w:rsid w:val="006175D6"/>
    <w:rsid w:val="00617744"/>
    <w:rsid w:val="00617950"/>
    <w:rsid w:val="00617BB8"/>
    <w:rsid w:val="00620DAA"/>
    <w:rsid w:val="00621772"/>
    <w:rsid w:val="00622770"/>
    <w:rsid w:val="00622801"/>
    <w:rsid w:val="00622BDF"/>
    <w:rsid w:val="00623221"/>
    <w:rsid w:val="00624D75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DD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51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3A8"/>
    <w:rsid w:val="0068667E"/>
    <w:rsid w:val="00687C15"/>
    <w:rsid w:val="006909A7"/>
    <w:rsid w:val="006912BF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B8E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5E2"/>
    <w:rsid w:val="006F2882"/>
    <w:rsid w:val="006F392F"/>
    <w:rsid w:val="006F3EAE"/>
    <w:rsid w:val="006F42E6"/>
    <w:rsid w:val="006F53D8"/>
    <w:rsid w:val="006F5ACA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2D00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66E8A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1E7C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0F5"/>
    <w:rsid w:val="007C74F4"/>
    <w:rsid w:val="007D151B"/>
    <w:rsid w:val="007D1C72"/>
    <w:rsid w:val="007D1E64"/>
    <w:rsid w:val="007D223D"/>
    <w:rsid w:val="007D3BE5"/>
    <w:rsid w:val="007D5483"/>
    <w:rsid w:val="007D5505"/>
    <w:rsid w:val="007D5B5D"/>
    <w:rsid w:val="007D68CB"/>
    <w:rsid w:val="007D71FC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1C8C"/>
    <w:rsid w:val="008B21DA"/>
    <w:rsid w:val="008B25D2"/>
    <w:rsid w:val="008B2B89"/>
    <w:rsid w:val="008B2DD2"/>
    <w:rsid w:val="008B361D"/>
    <w:rsid w:val="008B3825"/>
    <w:rsid w:val="008B420A"/>
    <w:rsid w:val="008B51E2"/>
    <w:rsid w:val="008B5652"/>
    <w:rsid w:val="008B56C4"/>
    <w:rsid w:val="008B5982"/>
    <w:rsid w:val="008B60AA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1D7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183"/>
    <w:rsid w:val="009844BA"/>
    <w:rsid w:val="00984546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0D4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64C"/>
    <w:rsid w:val="009C0A23"/>
    <w:rsid w:val="009C2E32"/>
    <w:rsid w:val="009C3716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27F"/>
    <w:rsid w:val="009E1F57"/>
    <w:rsid w:val="009E20EB"/>
    <w:rsid w:val="009E489A"/>
    <w:rsid w:val="009E5212"/>
    <w:rsid w:val="009E637F"/>
    <w:rsid w:val="009E6C19"/>
    <w:rsid w:val="009E6E2F"/>
    <w:rsid w:val="009F0845"/>
    <w:rsid w:val="009F1EDE"/>
    <w:rsid w:val="009F2928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6E33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0C4"/>
    <w:rsid w:val="00A52861"/>
    <w:rsid w:val="00A52A2C"/>
    <w:rsid w:val="00A53EAB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59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6DF4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3AB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25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36C9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E41"/>
    <w:rsid w:val="00B253A6"/>
    <w:rsid w:val="00B25C33"/>
    <w:rsid w:val="00B25E29"/>
    <w:rsid w:val="00B26130"/>
    <w:rsid w:val="00B2662C"/>
    <w:rsid w:val="00B26C72"/>
    <w:rsid w:val="00B2719B"/>
    <w:rsid w:val="00B30C78"/>
    <w:rsid w:val="00B31B9F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82E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881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0D0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1696"/>
    <w:rsid w:val="00BC2111"/>
    <w:rsid w:val="00BC2848"/>
    <w:rsid w:val="00BC3272"/>
    <w:rsid w:val="00BC3508"/>
    <w:rsid w:val="00BC3CA7"/>
    <w:rsid w:val="00BC3F0E"/>
    <w:rsid w:val="00BC3F14"/>
    <w:rsid w:val="00BC47A5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0E0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289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0BD3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3C8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3FD5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3CEE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1D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A8C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369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6AAD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DB8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7A"/>
    <w:rsid w:val="00E434A7"/>
    <w:rsid w:val="00E43709"/>
    <w:rsid w:val="00E43A89"/>
    <w:rsid w:val="00E4431D"/>
    <w:rsid w:val="00E446A5"/>
    <w:rsid w:val="00E449A7"/>
    <w:rsid w:val="00E44CBD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BFF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67C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809"/>
    <w:rsid w:val="00EA0296"/>
    <w:rsid w:val="00EA072E"/>
    <w:rsid w:val="00EA10D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0AB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265B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2FD3"/>
    <w:rsid w:val="00F749A8"/>
    <w:rsid w:val="00F74F32"/>
    <w:rsid w:val="00F75C81"/>
    <w:rsid w:val="00F760BB"/>
    <w:rsid w:val="00F76A97"/>
    <w:rsid w:val="00F773A9"/>
    <w:rsid w:val="00F77CFC"/>
    <w:rsid w:val="00F803D2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20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5A1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7D71FC"/>
    <w:pPr>
      <w:numPr>
        <w:numId w:val="53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56512996-DE2C-41AA-8B4E-303EEFC6BF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Taltz SGM 2013-A</vt:lpstr>
    </vt:vector>
  </TitlesOfParts>
  <Company>CVS Caremark</Company>
  <LinksUpToDate>false</LinksUpToDate>
  <CharactersWithSpaces>11062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Taltz SGM 2013-A</dc:title>
  <dc:subject>Taltz SGM 2013-A</dc:subject>
  <dc:creator>CVS Caremark</dc:creator>
  <cp:keywords/>
  <cp:lastModifiedBy>Reynoso, Victor H</cp:lastModifiedBy>
  <cp:revision>80</cp:revision>
  <cp:lastPrinted>2024-04-12T11:36:00Z</cp:lastPrinted>
  <dcterms:created xsi:type="dcterms:W3CDTF">2024-04-12T11:36:00Z</dcterms:created>
  <dcterms:modified xsi:type="dcterms:W3CDTF">2025-05-05T19:48:00Z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943700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